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26-122</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412</w:t>
      </w:r>
    </w:p>
    <w:p>
      <w:pPr>
        <w:spacing w:before="0" w:after="0" w:line="480"/>
        <w:ind w:left="120"/>
        <w:jc w:val="center"/>
      </w:pPr>
      <w:r>
        <w:rPr>
          <w:rFonts w:ascii="Times New Roman" w:hAnsi="Times New Roman"/>
          <w:b w:val="false"/>
          <w:i w:val="false"/>
          <w:color w:val="000000"/>
          <w:sz w:val="24"/>
        </w:rPr>
        <w:t>“National Register of Historic Places”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15.121</w:t>
      </w:r>
    </w:p>
    <w:p>
      <w:pPr>
        <w:spacing w:before="0" w:after="0" w:line="480"/>
        <w:ind w:left="120"/>
        <w:jc w:val="both"/>
      </w:pPr>
      <w:r>
        <w:rPr>
          <w:rFonts w:ascii="Times New Roman" w:hAnsi="Times New Roman"/>
          <w:b w:val="false"/>
          <w:i w:val="false"/>
          <w:color w:val="000000"/>
          <w:sz w:val="24"/>
        </w:rPr>
        <w:t>State or federal law(s) implemented by the rulemaking: Iowa Code section 15.121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16, 2026</w:t>
            </w:r>
            <w:r>
              <w:br/>
            </w:r>
            <w:r>
              <w:rPr>
                <w:rFonts w:ascii="Times New Roman" w:hAnsi="Times New Roman"/>
                <w:b w:val="false"/>
                <w:i w:val="false"/>
                <w:color w:val="000000"/>
                <w:sz w:val="14"/>
              </w:rPr>
              <w:t>9 to 9:15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Information about Teams participation </w:t>
            </w:r>
            <w:r>
              <w:br/>
            </w:r>
            <w:r>
              <w:rPr>
                <w:rFonts w:ascii="Times New Roman" w:hAnsi="Times New Roman"/>
                <w:b w:val="false"/>
                <w:i w:val="false"/>
                <w:color w:val="000000"/>
                <w:sz w:val="14"/>
              </w:rPr>
              <w:t>can be found at</w:t>
            </w:r>
            <w:r>
              <w:br/>
            </w:r>
            <w:hyperlink r:id="rId4">
              <w:r>
                <w:rPr>
                  <w:rStyle w:val="Hyperlink"/>
                  <w:rFonts w:ascii="Times New Roman" w:hAnsi="Times New Roman"/>
                  <w:b w:val="false"/>
                  <w:i w:val="false"/>
                  <w:color w:val="0000ff"/>
                  <w:sz w:val="1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Economic Development Authority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Lisa Connell</w:t>
            </w:r>
            <w:r>
              <w:br/>
            </w:r>
            <w:r>
              <w:rPr>
                <w:rFonts w:ascii="Times New Roman" w:hAnsi="Times New Roman"/>
                <w:b w:val="false"/>
                <w:i w:val="false"/>
                <w:color w:val="000000"/>
                <w:sz w:val="14"/>
              </w:rPr>
              <w:t>Iowa Economic Development Authority</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Des Moines, Iowa 50315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412 and adopt a new chapter in lieu thereof. This proposed chapter describes the nomination process for the National Register of Historic Places.</w:t>
      </w:r>
    </w:p>
    <w:p>
      <w:pPr>
        <w:spacing w:before="0" w:after="0" w:line="480"/>
        <w:ind w:left="120"/>
        <w:jc w:val="both"/>
      </w:pPr>
      <w:r>
        <w:rPr>
          <w:rFonts w:ascii="Times New Roman" w:hAnsi="Times New Roman"/>
          <w:b w:val="false"/>
          <w:i w:val="false"/>
          <w:color w:val="000000"/>
          <w:sz w:val="24"/>
        </w:rPr>
        <w:t>    The updated chapter will be clearer and more concise throughout. Definitions will be added for clarity. Information about the Iowa State National Register of Historic Places Nominations Review Committee (Committee) will be added to the chapter. The Committee is currently addressed in 223—Chapter 35, which is proposed to be rescinded as part of a concurrent rulemaking (</w:t>
      </w:r>
      <w:r>
        <w:rPr>
          <w:rFonts w:ascii="Times New Roman" w:hAnsi="Times New Roman"/>
          <w:b/>
          <w:i w:val="false"/>
          <w:color w:val="000000"/>
          <w:sz w:val="24"/>
        </w:rPr>
        <w:t>RA 26-134</w:t>
      </w:r>
      <w:r>
        <w:rPr>
          <w:rFonts w:ascii="Times New Roman" w:hAnsi="Times New Roman"/>
          <w:b w:val="false"/>
          <w:i w:val="false"/>
          <w:color w:val="000000"/>
          <w:sz w:val="24"/>
        </w:rPr>
        <w:t>, IAB 6/24/26). A description of the relationship between the National Register of Historic Places and the State Register of Historic Places will also be added to the chapter. This information is currently noted in 261—Chapter 416, which is proposed to be rescinded as part of a concurrent rulemaking (</w:t>
      </w:r>
      <w:r>
        <w:rPr>
          <w:rFonts w:ascii="Times New Roman" w:hAnsi="Times New Roman"/>
          <w:b/>
          <w:i w:val="false"/>
          <w:color w:val="000000"/>
          <w:sz w:val="24"/>
        </w:rPr>
        <w:t>RA 26-123</w:t>
      </w:r>
      <w:r>
        <w:rPr>
          <w:rFonts w:ascii="Times New Roman" w:hAnsi="Times New Roman"/>
          <w:b w:val="false"/>
          <w:i w:val="false"/>
          <w:color w:val="000000"/>
          <w:sz w:val="24"/>
        </w:rPr>
        <w:t>, IAB 6/24/26).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Applicants who apply for national register nomination through the program will bear the costs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Applicants who apply for national register nomination through the program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Applicants interested in applying for national register nomination through the program may require staff time to gather application materials and address feedback. The cost will vary, depending on the compensation of the staff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addition of information currently located in other chapters will clarify the procedure for nominations.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evaluate the nomination and provide feedback as to the feasibility of the nomination.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does not have any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proposed rulemaking are necessary for the administration of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methods or less intrusive methods for administering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412</w:t>
      </w:r>
    </w:p>
    <w:p>
      <w:pPr>
        <w:spacing w:before="0" w:after="0" w:line="480"/>
        <w:ind w:left="120"/>
        <w:jc w:val="center"/>
      </w:pPr>
      <w:r>
        <w:rPr>
          <w:rFonts w:ascii="Times New Roman" w:hAnsi="Times New Roman"/>
          <w:b w:val="false"/>
          <w:i w:val="false"/>
          <w:color w:val="000000"/>
          <w:sz w:val="21"/>
        </w:rPr>
        <w:t xml:space="preserve">NATIONAL REGISTER OF HISTORIC PLACES AND </w:t>
      </w:r>
      <w:r>
        <w:br/>
      </w:r>
      <w:r>
        <w:rPr>
          <w:rFonts w:ascii="Times New Roman" w:hAnsi="Times New Roman"/>
          <w:b w:val="false"/>
          <w:i w:val="false"/>
          <w:color w:val="000000"/>
          <w:sz w:val="21"/>
        </w:rPr>
        <w:t>STATE REGISTER OF HISTORIC PLACES</w:t>
      </w:r>
    </w:p>
    <w:p>
      <w:pPr>
        <w:spacing w:before="0" w:after="0" w:line="480"/>
        <w:ind w:left="120"/>
        <w:jc w:val="both"/>
      </w:pPr>
      <w:r>
        <w:rPr>
          <w:rFonts w:ascii="Times New Roman" w:hAnsi="Times New Roman"/>
          <w:b/>
          <w:i w:val="false"/>
          <w:color w:val="000000"/>
          <w:sz w:val="24"/>
        </w:rPr>
        <w:t>261—412.1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means the National Historic Preservation Act of 1966, Public Law 89-665, 54 U.S.C. Subtitle 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state national register of historic places review committee described in rule </w:t>
      </w:r>
      <w:hyperlink r:id="rId6">
        <w:r>
          <w:rPr>
            <w:rStyle w:val="Hyperlink"/>
            <w:rFonts w:ascii="Times New Roman" w:hAnsi="Times New Roman"/>
            <w:b w:val="false"/>
            <w:i w:val="false"/>
            <w:color w:val="000000"/>
            <w:sz w:val="24"/>
          </w:rPr>
          <w:t>261—412.3</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“National Register”</w:t>
      </w:r>
      <w:r>
        <w:rPr>
          <w:rFonts w:ascii="Times New Roman" w:hAnsi="Times New Roman"/>
          <w:b w:val="false"/>
          <w:i/>
          <w:color w:val="000000"/>
          <w:sz w:val="24"/>
          <w:u w:val="single"/>
        </w:rPr>
        <w:t> </w:t>
      </w:r>
      <w:r>
        <w:rPr>
          <w:rFonts w:ascii="Times New Roman" w:hAnsi="Times New Roman"/>
          <w:b w:val="false"/>
          <w:i w:val="false"/>
          <w:color w:val="000000"/>
          <w:sz w:val="24"/>
        </w:rPr>
        <w:t>means the federal government’s list of historic properties authorized under the Act, which is administered by the National Park Service, United States Department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officer appointed and certified pursuant to Iowa Code section </w:t>
      </w:r>
      <w:hyperlink r:id="rId7">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261—412.2</w:t>
      </w:r>
      <w:r>
        <w:rPr>
          <w:rFonts w:ascii="Times New Roman" w:hAnsi="Times New Roman"/>
          <w:b/>
          <w:i w:val="false"/>
          <w:color w:val="000000"/>
          <w:sz w:val="24"/>
        </w:rPr>
        <w:t xml:space="preserve">(303)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nomination process for the National Register of Historic Places shall operate in accordance with </w:t>
      </w:r>
      <w:r>
        <w:rPr>
          <w:rFonts w:ascii="Times New Roman" w:hAnsi="Times New Roman"/>
          <w:b w:val="false"/>
          <w:i w:val="false"/>
          <w:color w:val="000000"/>
          <w:sz w:val="24"/>
        </w:rPr>
        <w:t>36 CFR Part 60</w:t>
      </w:r>
      <w:r>
        <w:rPr>
          <w:rFonts w:ascii="Times New Roman" w:hAnsi="Times New Roman"/>
          <w:b w:val="false"/>
          <w:i w:val="false"/>
          <w:color w:val="000000"/>
          <w:sz w:val="24"/>
        </w:rPr>
        <w:t xml:space="preserve"> (National Register of Historic Places), </w:t>
      </w:r>
      <w:r>
        <w:rPr>
          <w:rFonts w:ascii="Times New Roman" w:hAnsi="Times New Roman"/>
          <w:b w:val="false"/>
          <w:i w:val="false"/>
          <w:color w:val="000000"/>
          <w:sz w:val="24"/>
        </w:rPr>
        <w:t>36 CFR Part 63</w:t>
      </w:r>
      <w:r>
        <w:rPr>
          <w:rFonts w:ascii="Times New Roman" w:hAnsi="Times New Roman"/>
          <w:b w:val="false"/>
          <w:i w:val="false"/>
          <w:color w:val="000000"/>
          <w:sz w:val="24"/>
        </w:rPr>
        <w:t xml:space="preserve"> (Determinations of Eligibility for Inclusion in the National Register of Historic Places), and </w:t>
      </w:r>
      <w:r>
        <w:rPr>
          <w:rFonts w:ascii="Times New Roman" w:hAnsi="Times New Roman"/>
          <w:b w:val="false"/>
          <w:i w:val="false"/>
          <w:color w:val="000000"/>
          <w:sz w:val="24"/>
        </w:rPr>
        <w:t>36 CFR Part 67</w:t>
      </w:r>
      <w:r>
        <w:rPr>
          <w:rFonts w:ascii="Times New Roman" w:hAnsi="Times New Roman"/>
          <w:b w:val="false"/>
          <w:i w:val="false"/>
          <w:color w:val="000000"/>
          <w:sz w:val="24"/>
        </w:rPr>
        <w:t xml:space="preserve"> (Historic Preservation Certifications Under the Internal Revenue Code).</w:t>
      </w:r>
    </w:p>
    <w:p>
      <w:pPr>
        <w:spacing w:before="0" w:after="0" w:line="480"/>
        <w:ind w:left="120"/>
        <w:jc w:val="both"/>
      </w:pPr>
      <w:r>
        <w:rPr>
          <w:rFonts w:ascii="Times New Roman" w:hAnsi="Times New Roman"/>
          <w:b/>
          <w:i w:val="false"/>
          <w:color w:val="000000"/>
          <w:sz w:val="24"/>
        </w:rPr>
        <w:t>261—412.3</w:t>
      </w:r>
      <w:r>
        <w:rPr>
          <w:rFonts w:ascii="Times New Roman" w:hAnsi="Times New Roman"/>
          <w:b/>
          <w:i w:val="false"/>
          <w:color w:val="000000"/>
          <w:sz w:val="24"/>
        </w:rPr>
        <w:t xml:space="preserve">(15) </w:t>
      </w:r>
      <w:r>
        <w:rPr>
          <w:rFonts w:ascii="Times New Roman" w:hAnsi="Times New Roman"/>
          <w:b/>
          <w:i w:val="false"/>
          <w:color w:val="000000"/>
          <w:sz w:val="24"/>
        </w:rPr>
        <w:t xml:space="preserve">Committee. </w:t>
      </w:r>
      <w:r>
        <w:rPr>
          <w:rFonts w:ascii="Times New Roman" w:hAnsi="Times New Roman"/>
          <w:b w:val="false"/>
          <w:i w:val="false"/>
          <w:color w:val="000000"/>
          <w:sz w:val="24"/>
        </w:rPr>
        <w:t>An Iowa state national register of historic places nominations review committee is a permanent advisory committee appointed by the SHPO. Members of the committee elect a chairperson and a vice chairperson annually and may elect other officers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412.3(1)</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r>
        <w:rPr>
          <w:rFonts w:ascii="Times New Roman" w:hAnsi="Times New Roman"/>
          <w:b w:val="false"/>
          <w:i w:val="false"/>
          <w:color w:val="000000"/>
          <w:sz w:val="24"/>
        </w:rPr>
        <w:t>The committee’s responsibilities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 of all proposed nominations of Iowa properties to the National Register of Historic Places to determine whether a property meets the National Register criteria for evaluation and to recommend that the SHPO approve or reject nominations;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Review appeals to the committee of the failure or refusal of the SHPO to nominate a property to the National Register;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Advise the SHPO concerning grant applications, end-of-year reports, and the state comprehensive historic preservation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general advice, guidance, and professional recommendations to the SHPO in carrying out the duties and responsibilities assigned in </w:t>
      </w:r>
      <w:r>
        <w:rPr>
          <w:rFonts w:ascii="Times New Roman" w:hAnsi="Times New Roman"/>
          <w:b w:val="false"/>
          <w:i w:val="false"/>
          <w:color w:val="000000"/>
          <w:sz w:val="24"/>
        </w:rPr>
        <w:t>36 CFR Part 61</w:t>
      </w:r>
      <w:r>
        <w:rPr>
          <w:rFonts w:ascii="Times New Roman" w:hAnsi="Times New Roman"/>
          <w:b w:val="false"/>
          <w:i w:val="false"/>
          <w:color w:val="000000"/>
          <w:sz w:val="24"/>
        </w:rPr>
        <w:t xml:space="preserve"> (Procedures for State, Tribal, and Local Government Historic Preservation Programs);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duties as may be appropriate and designated by the SHPO.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The SHPO shall appoint members to the committee. The committee will be composed of no more than 12 voting members, all of whom are citizens of Iowa and the majority of whom are professionals in historic preservation disciplines of American history, architectural history, architecture, prehistoric and historical archaeology, or related professional disciplines. The committee may include citizen members, representatives of other preservation-related professions, and nonvoting members. Professional members of the committee shall meet the qualifications in the Secretary of Interior Professional Qualification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412.3(3)</w:t>
      </w:r>
      <w:r>
        <w:rPr>
          <w:rFonts w:ascii="Times New Roman" w:hAnsi="Times New Roman"/>
          <w:b w:val="false"/>
          <w:i w:val="false"/>
          <w:color w:val="000000"/>
          <w:sz w:val="24"/>
        </w:rPr>
        <w:t> </w:t>
      </w:r>
      <w:r>
        <w:rPr>
          <w:rFonts w:ascii="Times New Roman" w:hAnsi="Times New Roman"/>
          <w:b w:val="false"/>
          <w:i/>
          <w:color w:val="000000"/>
          <w:sz w:val="24"/>
        </w:rPr>
        <w:t xml:space="preserve">Term of office. </w:t>
      </w:r>
      <w:r>
        <w:rPr>
          <w:rFonts w:ascii="Times New Roman" w:hAnsi="Times New Roman"/>
          <w:b w:val="false"/>
          <w:i w:val="false"/>
          <w:color w:val="000000"/>
          <w:sz w:val="24"/>
        </w:rPr>
        <w:t>The term of office for committee members is three years. The terms will be staggered to permit one-third of the appointments to be made each year. Terms of appointments begin on January 1 and are effective through December 31 three years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412.3(4)</w:t>
      </w:r>
      <w:r>
        <w:rPr>
          <w:rFonts w:ascii="Times New Roman" w:hAnsi="Times New Roman"/>
          <w:b w:val="false"/>
          <w:i w:val="false"/>
          <w:color w:val="000000"/>
          <w:sz w:val="24"/>
        </w:rPr>
        <w:t> </w:t>
      </w:r>
      <w:r>
        <w:rPr>
          <w:rFonts w:ascii="Times New Roman" w:hAnsi="Times New Roman"/>
          <w:b w:val="false"/>
          <w:i/>
          <w:color w:val="000000"/>
          <w:sz w:val="24"/>
        </w:rPr>
        <w:t xml:space="preserve">Meeting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may be reimbursed for travel, lodging, and expenses incurred in the performance of committee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Members of the committee who have a conflict of interest shall disclose the interest to the authority. The affected member shall not participate in any discussion or action by the committee and is disqualified from voting with respect to the subject of the conflict of interest. The quorum of the committee will not be changed as the result of a conflict-of-interest disqualification.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Committee members are to refrain from voting and commenting upon any nominated property for which the member serves as an officer, trustee, or fiduciary employee; for which the member has consulted either for remuneration or gratis in the preparation of the nomination; or for which the member has or expects to participate in the development or use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committee will meet at least three times per year. Meetings of the committee may be canceled if there is no business for the committee to consider. The committee may also schedule additional meetings as necessary to carry out its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SHPO or designee will preside at all meetings of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Members are permitted to miss no more than two regular meetings in a year and shall notify the SHPO at their earliest opportunity of their expected absence. If a member misses more than two regular meetings in a year, the SHPO may replace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Meetings will be conducted in accordance with Iowa Code chapter </w:t>
      </w:r>
      <w:hyperlink r:id="rId8">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and Robert’s Rules of Order, Revised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majority of voting members of the committee constitute a quorum, and any committee action requires an affirmative vote by a majority of the members present. No nomination will be considered by the committee unless one committee member with professional expertise in the area of nomination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Citizens may appear before the committee to discuss a nomination. The length of presentations may be limited by the chair.</w:t>
      </w:r>
    </w:p>
    <w:p>
      <w:pPr>
        <w:spacing w:before="0" w:after="0" w:line="480"/>
        <w:ind w:left="120"/>
        <w:jc w:val="both"/>
      </w:pPr>
      <w:r>
        <w:rPr>
          <w:rFonts w:ascii="Times New Roman" w:hAnsi="Times New Roman"/>
          <w:b/>
          <w:i w:val="false"/>
          <w:color w:val="000000"/>
          <w:sz w:val="24"/>
        </w:rPr>
        <w:t>261—412.4</w:t>
      </w:r>
      <w:r>
        <w:rPr>
          <w:rFonts w:ascii="Times New Roman" w:hAnsi="Times New Roman"/>
          <w:b/>
          <w:i w:val="false"/>
          <w:color w:val="000000"/>
          <w:sz w:val="24"/>
        </w:rPr>
        <w:t xml:space="preserve">(303) </w:t>
      </w:r>
      <w:r>
        <w:rPr>
          <w:rFonts w:ascii="Times New Roman" w:hAnsi="Times New Roman"/>
          <w:b/>
          <w:i w:val="false"/>
          <w:color w:val="000000"/>
          <w:sz w:val="24"/>
        </w:rPr>
        <w:t xml:space="preserve">Nomination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412.4(1)</w:t>
      </w:r>
      <w:r>
        <w:rPr>
          <w:rFonts w:ascii="Times New Roman" w:hAnsi="Times New Roman"/>
          <w:b w:val="false"/>
          <w:i w:val="false"/>
          <w:color w:val="000000"/>
          <w:sz w:val="24"/>
        </w:rPr>
        <w:t> </w:t>
      </w:r>
      <w:r>
        <w:rPr>
          <w:rFonts w:ascii="Times New Roman" w:hAnsi="Times New Roman"/>
          <w:b w:val="false"/>
          <w:i w:val="false"/>
          <w:color w:val="000000"/>
          <w:sz w:val="24"/>
        </w:rPr>
        <w:t>Individuals wishing to nominate a cultural resource to the National Register of Historic Places shall follow instructions on the authority’s website for submitting a preliminary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412.4(2)</w:t>
      </w:r>
      <w:r>
        <w:rPr>
          <w:rFonts w:ascii="Times New Roman" w:hAnsi="Times New Roman"/>
          <w:b w:val="false"/>
          <w:i w:val="false"/>
          <w:color w:val="000000"/>
          <w:sz w:val="24"/>
        </w:rPr>
        <w:t> </w:t>
      </w:r>
      <w:r>
        <w:rPr>
          <w:rFonts w:ascii="Times New Roman" w:hAnsi="Times New Roman"/>
          <w:b w:val="false"/>
          <w:i w:val="false"/>
          <w:color w:val="000000"/>
          <w:sz w:val="24"/>
        </w:rPr>
        <w:t>Preliminary evaluations will be reviewed by SHPO staff. Staff will review preliminary evaluations within 30 days of receipt and may advise the applicant of the need for additional information, that the cultural resource is not eligible, or that the application may proceed.</w:t>
      </w:r>
    </w:p>
    <w:p>
      <w:pPr>
        <w:spacing w:before="0" w:after="0" w:line="480"/>
        <w:ind w:left="120"/>
        <w:jc w:val="both"/>
      </w:pPr>
      <w:r>
        <w:rPr>
          <w:rFonts w:ascii="Times New Roman" w:hAnsi="Times New Roman"/>
          <w:b/>
          <w:i w:val="false"/>
          <w:color w:val="000000"/>
          <w:sz w:val="24"/>
        </w:rPr>
        <w:t>261—412.5</w:t>
      </w:r>
      <w:r>
        <w:rPr>
          <w:rFonts w:ascii="Times New Roman" w:hAnsi="Times New Roman"/>
          <w:b/>
          <w:i w:val="false"/>
          <w:color w:val="000000"/>
          <w:sz w:val="24"/>
        </w:rPr>
        <w:t xml:space="preserve">(303) </w:t>
      </w:r>
      <w:r>
        <w:rPr>
          <w:rFonts w:ascii="Times New Roman" w:hAnsi="Times New Roman"/>
          <w:b/>
          <w:i w:val="false"/>
          <w:color w:val="000000"/>
          <w:sz w:val="24"/>
        </w:rPr>
        <w:t xml:space="preserve">Review of nominations.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412.5(1)</w:t>
      </w:r>
      <w:r>
        <w:rPr>
          <w:rFonts w:ascii="Times New Roman" w:hAnsi="Times New Roman"/>
          <w:b w:val="false"/>
          <w:i w:val="false"/>
          <w:color w:val="000000"/>
          <w:sz w:val="24"/>
        </w:rPr>
        <w:t> </w:t>
      </w:r>
      <w:r>
        <w:rPr>
          <w:rFonts w:ascii="Times New Roman" w:hAnsi="Times New Roman"/>
          <w:b w:val="false"/>
          <w:i w:val="false"/>
          <w:color w:val="000000"/>
          <w:sz w:val="24"/>
        </w:rPr>
        <w:t>Applicants shall follow instructions on the authority’s website for submitting nominations. Staff will review final nominations prior to submission to the committee for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412.5(2)</w:t>
      </w:r>
      <w:r>
        <w:rPr>
          <w:rFonts w:ascii="Times New Roman" w:hAnsi="Times New Roman"/>
          <w:b w:val="false"/>
          <w:i w:val="false"/>
          <w:color w:val="000000"/>
          <w:sz w:val="24"/>
        </w:rPr>
        <w:t> </w:t>
      </w:r>
      <w:r>
        <w:rPr>
          <w:rFonts w:ascii="Times New Roman" w:hAnsi="Times New Roman"/>
          <w:b w:val="false"/>
          <w:i w:val="false"/>
          <w:color w:val="000000"/>
          <w:sz w:val="24"/>
        </w:rPr>
        <w:t>Property owners will be notified of pending review of a potential nomination by the committee. Property owners objecting to consideration may notify SHPO staff to terminate nomination. Inquiries and objections may be directed to the National Register Coordinator, Iowa Economic Development Authority, 1963 Bell Avenue, Suite 200, Des Moines, Iowa 50315, 515.348.6200.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412.5(3)</w:t>
      </w:r>
      <w:r>
        <w:rPr>
          <w:rFonts w:ascii="Times New Roman" w:hAnsi="Times New Roman"/>
          <w:b w:val="false"/>
          <w:i w:val="false"/>
          <w:color w:val="000000"/>
          <w:sz w:val="24"/>
        </w:rPr>
        <w:t> </w:t>
      </w:r>
      <w:r>
        <w:rPr>
          <w:rFonts w:ascii="Times New Roman" w:hAnsi="Times New Roman"/>
          <w:b w:val="false"/>
          <w:i w:val="false"/>
          <w:color w:val="000000"/>
          <w:sz w:val="24"/>
        </w:rPr>
        <w:t>The committee will review the nomination and recommend action to the SHPO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412.5(4)</w:t>
      </w:r>
      <w:r>
        <w:rPr>
          <w:rFonts w:ascii="Times New Roman" w:hAnsi="Times New Roman"/>
          <w:b w:val="false"/>
          <w:i w:val="false"/>
          <w:color w:val="000000"/>
          <w:sz w:val="24"/>
        </w:rPr>
        <w:t> </w:t>
      </w:r>
      <w:r>
        <w:rPr>
          <w:rFonts w:ascii="Times New Roman" w:hAnsi="Times New Roman"/>
          <w:b w:val="false"/>
          <w:i w:val="false"/>
          <w:color w:val="000000"/>
          <w:sz w:val="24"/>
        </w:rPr>
        <w:t>Nominations signed by the SHPO will be forwarded to the National Park Service for consideration. The National Park Service has a 45-day response period, which includes a 15-day period for public comment. The National Park Service may list the resource on the National Register of Historic Places, return the nomination for further preparation, or reject the nomination. Appeals of National Park Service decisions may be directed to the National Park Service, Department of the Interior, National Register Office, P.O. Box 37127, Washington, D.C. 20013-7127.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412.5(5)</w:t>
      </w:r>
      <w:r>
        <w:rPr>
          <w:rFonts w:ascii="Times New Roman" w:hAnsi="Times New Roman"/>
          <w:b w:val="false"/>
          <w:i w:val="false"/>
          <w:color w:val="000000"/>
          <w:sz w:val="24"/>
        </w:rPr>
        <w:t> </w:t>
      </w:r>
      <w:r>
        <w:rPr>
          <w:rFonts w:ascii="Times New Roman" w:hAnsi="Times New Roman"/>
          <w:b w:val="false"/>
          <w:i w:val="false"/>
          <w:color w:val="000000"/>
          <w:sz w:val="24"/>
        </w:rPr>
        <w:t>Owners and all interested parties will be notified by the SHPO of the formal listing. A commemorative certificate will be forwarded to property owners of individually listed properties.</w:t>
      </w:r>
    </w:p>
    <w:p>
      <w:pPr>
        <w:spacing w:before="210" w:after="0" w:line="480"/>
        <w:ind w:left="120"/>
        <w:jc w:val="both"/>
      </w:pPr>
      <w:r>
        <w:rPr>
          <w:rFonts w:ascii="Times New Roman" w:hAnsi="Times New Roman"/>
          <w:b/>
          <w:i w:val="false"/>
          <w:color w:val="000000"/>
          <w:sz w:val="24"/>
        </w:rPr>
        <w:t>261—412.6</w:t>
      </w:r>
      <w:r>
        <w:rPr>
          <w:rFonts w:ascii="Times New Roman" w:hAnsi="Times New Roman"/>
          <w:b/>
          <w:i w:val="false"/>
          <w:color w:val="000000"/>
          <w:sz w:val="24"/>
        </w:rPr>
        <w:t xml:space="preserve">(303) </w:t>
      </w:r>
      <w:r>
        <w:rPr>
          <w:rFonts w:ascii="Times New Roman" w:hAnsi="Times New Roman"/>
          <w:b/>
          <w:i w:val="false"/>
          <w:color w:val="000000"/>
          <w:sz w:val="24"/>
        </w:rPr>
        <w:t xml:space="preserve">Delisting of properties. </w:t>
      </w:r>
      <w:r>
        <w:rPr>
          <w:rFonts w:ascii="Times New Roman" w:hAnsi="Times New Roman"/>
          <w:b w:val="false"/>
          <w:i w:val="false"/>
          <w:color w:val="000000"/>
          <w:sz w:val="24"/>
        </w:rPr>
        <w:t>Alterations to a property may result in delisting of a property. Delisting of a property is automatic if the property is completely demolished or moved without prior approval from the National Park Service. Inquiries may be directed to the National Register Coordinator, Iowa Economic Development Authority, 1963 Bell Avenue, Suite 200, Des Moines, Iowa 50315, 515.348.6200.</w:t>
      </w:r>
    </w:p>
    <w:p>
      <w:pPr>
        <w:spacing w:before="210" w:after="0" w:line="480"/>
        <w:ind w:left="120"/>
        <w:jc w:val="both"/>
      </w:pPr>
      <w:r>
        <w:rPr>
          <w:rFonts w:ascii="Times New Roman" w:hAnsi="Times New Roman"/>
          <w:b/>
          <w:i w:val="false"/>
          <w:color w:val="000000"/>
          <w:sz w:val="24"/>
        </w:rPr>
        <w:t>261—412.7</w:t>
      </w:r>
      <w:r>
        <w:rPr>
          <w:rFonts w:ascii="Times New Roman" w:hAnsi="Times New Roman"/>
          <w:b/>
          <w:i w:val="false"/>
          <w:color w:val="000000"/>
          <w:sz w:val="24"/>
        </w:rPr>
        <w:t xml:space="preserve">(15) </w:t>
      </w:r>
      <w:r>
        <w:rPr>
          <w:rFonts w:ascii="Times New Roman" w:hAnsi="Times New Roman"/>
          <w:b/>
          <w:i w:val="false"/>
          <w:color w:val="000000"/>
          <w:sz w:val="24"/>
        </w:rPr>
        <w:t xml:space="preserve">State register. </w:t>
      </w:r>
      <w:r>
        <w:rPr>
          <w:rFonts w:ascii="Times New Roman" w:hAnsi="Times New Roman"/>
          <w:b w:val="false"/>
          <w:i w:val="false"/>
          <w:color w:val="000000"/>
          <w:sz w:val="24"/>
        </w:rPr>
        <w:t xml:space="preserve">The State Register of Historic Places, which is prepared and maintained pursuant to Iowa Code section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shall be administered pursuant to all regulations and procedures in this chapter applicable to the National Register of Historic Places.</w:t>
      </w:r>
    </w:p>
    <w:p>
      <w:pPr>
        <w:spacing w:before="210" w:after="0" w:line="480"/>
        <w:ind w:left="120"/>
        <w:jc w:val="both"/>
      </w:pPr>
      <w:r>
        <w:rPr>
          <w:rFonts w:ascii="Times New Roman" w:hAnsi="Times New Roman"/>
          <w:b/>
          <w:i w:val="false"/>
          <w:color w:val="000000"/>
          <w:sz w:val="24"/>
        </w:rPr>
        <w:t>261—412.8</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Code of Federal Regulations, or Secretary of Interior Professional Qualification Standards in this chapter are as in effect on [effective date of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0">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lisa.connell@iowaeda.com" Type="http://schemas.openxmlformats.org/officeDocument/2006/relationships/hyperlink" Id="rId5"/>
    <Relationship TargetMode="External" Target="https://www.legis.iowa.gov/docs/iac/rule/261.412.3.pdf" Type="http://schemas.openxmlformats.org/officeDocument/2006/relationships/hyperlink" Id="rId6"/>
    <Relationship TargetMode="External" Target="https://www.legis.iowa.gov/docs/ico/chapter/15.1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15.121.pdf" Type="http://schemas.openxmlformats.org/officeDocument/2006/relationships/hyperlink" Id="rId9"/>
    <Relationship TargetMode="External" Target="https://www.legis.iowa.gov/docs/ico/chapter/15.12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